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F07" w:rsidRDefault="00637F07" w:rsidP="00637F07">
      <w:pPr>
        <w:rPr>
          <w:rFonts w:ascii="Simplified Arabic" w:hAnsi="Simplified Arabic" w:cs="Simplified Arabic"/>
          <w:b/>
          <w:bCs/>
          <w:sz w:val="32"/>
          <w:szCs w:val="32"/>
          <w:rtl/>
          <w:lang w:bidi="ar-DZ"/>
        </w:rPr>
      </w:pPr>
    </w:p>
    <w:p w:rsidR="00637F07" w:rsidRDefault="00637F07" w:rsidP="00637F07">
      <w:pPr>
        <w:rPr>
          <w:rFonts w:ascii="Simplified Arabic" w:hAnsi="Simplified Arabic" w:cs="Simplified Arabic"/>
          <w:b/>
          <w:bCs/>
          <w:sz w:val="32"/>
          <w:szCs w:val="32"/>
          <w:rtl/>
          <w:lang w:bidi="ar-DZ"/>
        </w:rPr>
      </w:pPr>
    </w:p>
    <w:p w:rsidR="00637F07" w:rsidRDefault="00637F07" w:rsidP="00637F07">
      <w:pPr>
        <w:rPr>
          <w:rFonts w:ascii="Simplified Arabic" w:hAnsi="Simplified Arabic" w:cs="Simplified Arabic"/>
          <w:b/>
          <w:bCs/>
          <w:sz w:val="32"/>
          <w:szCs w:val="32"/>
          <w:rtl/>
          <w:lang w:bidi="ar-DZ"/>
        </w:rPr>
      </w:pPr>
    </w:p>
    <w:p w:rsidR="00637F07" w:rsidRDefault="00637F07" w:rsidP="00637F07">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b/>
          <w:bCs/>
          <w:sz w:val="32"/>
          <w:szCs w:val="32"/>
          <w:rtl/>
          <w:lang w:bidi="ar-DZ"/>
        </w:rPr>
        <w:t xml:space="preserve">المحاضرة </w:t>
      </w:r>
      <w:r>
        <w:rPr>
          <w:rFonts w:ascii="Simplified Arabic" w:hAnsi="Simplified Arabic" w:cs="Simplified Arabic" w:hint="cs"/>
          <w:b/>
          <w:bCs/>
          <w:sz w:val="32"/>
          <w:szCs w:val="32"/>
          <w:rtl/>
          <w:lang w:bidi="ar-DZ"/>
        </w:rPr>
        <w:t xml:space="preserve">السابعة  </w:t>
      </w:r>
      <w:r>
        <w:rPr>
          <w:rFonts w:ascii="Simplified Arabic" w:hAnsi="Simplified Arabic" w:cs="Simplified Arabic"/>
          <w:b/>
          <w:bCs/>
          <w:sz w:val="32"/>
          <w:szCs w:val="32"/>
          <w:rtl/>
          <w:lang w:bidi="ar-DZ"/>
        </w:rPr>
        <w:t xml:space="preserve"> في النص الأدبي المعاصر</w:t>
      </w:r>
      <w:r>
        <w:rPr>
          <w:rFonts w:ascii="Simplified Arabic" w:hAnsi="Simplified Arabic" w:cs="Simplified Arabic" w:hint="cs"/>
          <w:b/>
          <w:bCs/>
          <w:sz w:val="32"/>
          <w:szCs w:val="32"/>
          <w:rtl/>
          <w:lang w:bidi="ar-DZ"/>
        </w:rPr>
        <w:t xml:space="preserve"> </w:t>
      </w:r>
    </w:p>
    <w:p w:rsidR="00637F07" w:rsidRDefault="00637F07" w:rsidP="00637F07">
      <w:pPr>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مفاهيم النص السردي المعاصر </w:t>
      </w:r>
    </w:p>
    <w:p w:rsidR="00637F07" w:rsidRDefault="00637F07" w:rsidP="00637F07">
      <w:pPr>
        <w:jc w:val="center"/>
        <w:rPr>
          <w:rFonts w:ascii="Simplified Arabic" w:hAnsi="Simplified Arabic" w:cs="Simplified Arabic"/>
          <w:b/>
          <w:bCs/>
          <w:sz w:val="32"/>
          <w:szCs w:val="32"/>
          <w:rtl/>
          <w:lang w:bidi="ar-DZ"/>
        </w:rPr>
      </w:pPr>
    </w:p>
    <w:p w:rsidR="00637F07" w:rsidRDefault="00637F07" w:rsidP="00637F07">
      <w:pP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تقديم:</w:t>
      </w:r>
    </w:p>
    <w:p w:rsidR="00637F07" w:rsidRDefault="00637F07" w:rsidP="00637F07">
      <w:pPr>
        <w:jc w:val="center"/>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 xml:space="preserve">    السّرد أو السرديّة أو علم السرد من المصطلحات النقديّة التي دخلت حيّز التوظيف منتصف القرن العشرين بتأثير من المنهج البنيوي، ويهدف هذا العلم إلى تقديم طرائق الوصف المنهجي لسيرورة السرد داخل النصوص الحكائيّة. وكانت الانطلاقة الأولى لعلم السرد على أيدي الشكلانيين الروس الذين رفضوا المناهج السياقيّة بوصفها اعتداء على الأدبيّة. يسعى ا</w:t>
      </w:r>
      <w:r>
        <w:rPr>
          <w:rFonts w:ascii="Simplified Arabic" w:hAnsi="Simplified Arabic" w:cs="Simplified Arabic" w:hint="cs"/>
          <w:sz w:val="32"/>
          <w:szCs w:val="32"/>
          <w:rtl/>
          <w:lang w:bidi="ar-DZ"/>
        </w:rPr>
        <w:t>ل</w:t>
      </w:r>
      <w:r>
        <w:rPr>
          <w:rFonts w:ascii="Simplified Arabic" w:hAnsi="Simplified Arabic" w:cs="Simplified Arabic"/>
          <w:sz w:val="32"/>
          <w:szCs w:val="32"/>
          <w:rtl/>
          <w:lang w:bidi="ar-DZ"/>
        </w:rPr>
        <w:t>شكلانيون، ومن بعدهم البنيويون إذا إلى تحويل الأدب إلى علم موضوعه الأدبيّة. وتعني هذه المقولة كلّ السمات الأسلوبيّة التي من شأنها أن تجعل من النص نصّا أدبيا. يتعلق الأمر بغلة تكسر أنماط الخطاب اليومي والعادي، وتتوخّى لغة التّخييل والمجاز والاستعارة. لغة منفتحة على التأويل، حيثُ يحتمل اللفظ المعنى ونقيضه. ومن أعلام هؤلاء الشكلانيين فلاديمير بروب (1928/1968). وكان ذلك من خلال كتابه الشهير "مورفولوجيا الخرافة). والذي حلل فيه العديد من الحكايات الخرافيّة الروسيّة وبلور فيه أسس المنهج البنيوي في تحليل الخطابات السّرديّة، ولم يعد يعتد بالشخصيّة لأنها متغيّرة، بينما المطلوب البحث عن كل ما هو ثابت، من أجل بناء الأحكام. وقد وجد أن الوظيفة هي العنصر الثابت وليست الشخصيّة.</w:t>
      </w:r>
      <w:r w:rsidRPr="00B22498">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 xml:space="preserve"> </w:t>
      </w:r>
    </w:p>
    <w:p w:rsidR="00637F07" w:rsidRDefault="00637F07" w:rsidP="00637F07">
      <w:pPr>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lastRenderedPageBreak/>
        <w:t>مفاهيم النص السردي المعاصر</w:t>
      </w:r>
    </w:p>
    <w:p w:rsidR="00637F07" w:rsidRDefault="00637F07" w:rsidP="00637F07">
      <w:pPr>
        <w:jc w:val="both"/>
        <w:rPr>
          <w:rFonts w:ascii="Simplified Arabic" w:hAnsi="Simplified Arabic" w:cs="Simplified Arabic"/>
          <w:sz w:val="32"/>
          <w:szCs w:val="32"/>
          <w:rtl/>
          <w:lang w:bidi="ar-DZ"/>
        </w:rPr>
      </w:pPr>
    </w:p>
    <w:p w:rsidR="00637F07" w:rsidRDefault="00637F07" w:rsidP="00637F07">
      <w:pPr>
        <w:tabs>
          <w:tab w:val="center" w:pos="4536"/>
        </w:tabs>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ماهية </w:t>
      </w:r>
      <w:r>
        <w:rPr>
          <w:rFonts w:ascii="Simplified Arabic" w:hAnsi="Simplified Arabic" w:cs="Simplified Arabic"/>
          <w:b/>
          <w:bCs/>
          <w:sz w:val="32"/>
          <w:szCs w:val="32"/>
          <w:rtl/>
          <w:lang w:bidi="ar-DZ"/>
        </w:rPr>
        <w:t>علم السرد:</w:t>
      </w:r>
      <w:r>
        <w:rPr>
          <w:rFonts w:ascii="Simplified Arabic" w:hAnsi="Simplified Arabic" w:cs="Simplified Arabic"/>
          <w:b/>
          <w:bCs/>
          <w:sz w:val="32"/>
          <w:szCs w:val="32"/>
          <w:rtl/>
          <w:lang w:bidi="ar-DZ"/>
        </w:rPr>
        <w:tab/>
      </w:r>
    </w:p>
    <w:p w:rsidR="00637F07" w:rsidRDefault="00637F07" w:rsidP="00637F07">
      <w:pPr>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هو علمٌ حديثٌ قد نتج عن ثورة دو سوسير الألسنيّة، وهو "دراسة القص واستنباط الأسس التي يقوم عليها، وما يتعلق بذلك من نظم تحكم إنتاجه وتلقيه"</w:t>
      </w:r>
      <w:r>
        <w:rPr>
          <w:rStyle w:val="Appelnotedebasdep"/>
          <w:rFonts w:ascii="Simplified Arabic" w:hAnsi="Simplified Arabic" w:cs="Simplified Arabic"/>
          <w:sz w:val="32"/>
          <w:szCs w:val="32"/>
          <w:rtl/>
          <w:lang w:bidi="ar-DZ"/>
        </w:rPr>
        <w:footnoteReference w:id="2"/>
      </w:r>
      <w:r>
        <w:rPr>
          <w:rFonts w:ascii="Simplified Arabic" w:hAnsi="Simplified Arabic" w:cs="Simplified Arabic"/>
          <w:sz w:val="32"/>
          <w:szCs w:val="32"/>
          <w:rtl/>
          <w:lang w:bidi="ar-DZ"/>
        </w:rPr>
        <w:t>. للقصّ إذا أسس يقوم عليها. فهو أداة تواصل بين منتج للخطاب ومتلقٍّ له.</w:t>
      </w:r>
    </w:p>
    <w:p w:rsidR="00637F07" w:rsidRDefault="00637F07" w:rsidP="00637F07">
      <w:pPr>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صاغ فلاديمير بروب هذا المصطلح لأول مرة سنة 1969 في كتاب تحت عنوان </w:t>
      </w:r>
      <w:r>
        <w:rPr>
          <w:rFonts w:ascii="Simplified Arabic" w:hAnsi="Simplified Arabic" w:cs="Simplified Arabic"/>
          <w:b/>
          <w:bCs/>
          <w:sz w:val="32"/>
          <w:szCs w:val="32"/>
          <w:rtl/>
          <w:lang w:bidi="ar-DZ"/>
        </w:rPr>
        <w:t xml:space="preserve">قواعد الديكاميرون، </w:t>
      </w:r>
      <w:r>
        <w:rPr>
          <w:rFonts w:ascii="Simplified Arabic" w:hAnsi="Simplified Arabic" w:cs="Simplified Arabic"/>
          <w:sz w:val="32"/>
          <w:szCs w:val="32"/>
          <w:rtl/>
          <w:lang w:bidi="ar-DZ"/>
        </w:rPr>
        <w:t>كما سمّى هذا العلم أيضا ب</w:t>
      </w:r>
      <w:r>
        <w:rPr>
          <w:rFonts w:ascii="Simplified Arabic" w:hAnsi="Simplified Arabic" w:cs="Simplified Arabic"/>
          <w:b/>
          <w:bCs/>
          <w:sz w:val="32"/>
          <w:szCs w:val="32"/>
          <w:rtl/>
          <w:lang w:bidi="ar-DZ"/>
        </w:rPr>
        <w:t>علم القصّة.</w:t>
      </w:r>
      <w:r>
        <w:rPr>
          <w:rFonts w:ascii="Simplified Arabic" w:hAnsi="Simplified Arabic" w:cs="Simplified Arabic"/>
          <w:sz w:val="32"/>
          <w:szCs w:val="32"/>
          <w:rtl/>
          <w:lang w:bidi="ar-DZ"/>
        </w:rPr>
        <w:t xml:space="preserve"> وتتالت بعد ذلك المؤلفات في هذا العلم الذي شاع وعرف عصره الذّهبي في الستينات من القرن الماضي. فكتب كلّ من تودوروف وغريماس وبارت </w:t>
      </w:r>
      <w:r>
        <w:rPr>
          <w:rFonts w:ascii="Simplified Arabic" w:hAnsi="Simplified Arabic" w:cs="Simplified Arabic"/>
          <w:b/>
          <w:bCs/>
          <w:sz w:val="32"/>
          <w:szCs w:val="32"/>
          <w:rtl/>
          <w:lang w:bidi="ar-DZ"/>
        </w:rPr>
        <w:t xml:space="preserve">نحو القصة، </w:t>
      </w:r>
      <w:r>
        <w:rPr>
          <w:rFonts w:ascii="Simplified Arabic" w:hAnsi="Simplified Arabic" w:cs="Simplified Arabic"/>
          <w:sz w:val="32"/>
          <w:szCs w:val="32"/>
          <w:rtl/>
          <w:lang w:bidi="ar-DZ"/>
        </w:rPr>
        <w:t xml:space="preserve">وكتب جيرار جينيت وبال وستانزل حول علم السرد المرتكز على الخطاب. وتتالت الدراسات النقديّة لدراسة الخطابات الروائيّة والقصصيّة على أساس المنهج البنيوي، في عصره الذّهبي. وقد انتشر هذا المذهب لاحقا، وإن في زمن متأخر، في الوطن العربي، في البداية كان ذلك من خلال رسائل أكاديميّة، ثمّ ما لبث أن شاع في كل الدراسات النقديّة بمختلف مرجعياتها. لنذكّر أولا أن المنهج البنيوي قد شاع استعماله في كلّ العلوم الإنسانيّة كالانثروبولوجيا والفلسفة والتاريخ وغير ذلك. </w:t>
      </w:r>
    </w:p>
    <w:p w:rsidR="00637F07" w:rsidRDefault="00637F07" w:rsidP="00637F07">
      <w:pPr>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لم يبق علم السرد حبيسا على الدراسات الأدبيّة وإنّما تعدّى نشاطه إلى التاريخ  إذا، والدّين والصحافة والدّراسات القانونيّة. "إنّ الواقع كما نعرفه ليس معطى مدركا بالحواس، بل إنه بناءٌ ذاتي: يبدو أنّ السّرد في كلّ مكانٍ حولنا، لأنّ بناء التّمثيلات السّرديّة هو أحد الوسائل التي نعطي بها شكلا ومعنى للواقع الذي ندركه. السرد بعبارة أخرى هو طريقة أساسيّة للتفكير"</w:t>
      </w:r>
      <w:r>
        <w:rPr>
          <w:rStyle w:val="Appelnotedebasdep"/>
          <w:rFonts w:ascii="Simplified Arabic" w:hAnsi="Simplified Arabic" w:cs="Simplified Arabic"/>
          <w:sz w:val="32"/>
          <w:szCs w:val="32"/>
          <w:rtl/>
          <w:lang w:bidi="ar-DZ"/>
        </w:rPr>
        <w:footnoteReference w:id="3"/>
      </w:r>
      <w:r>
        <w:rPr>
          <w:rFonts w:ascii="Simplified Arabic" w:hAnsi="Simplified Arabic" w:cs="Simplified Arabic"/>
          <w:sz w:val="32"/>
          <w:szCs w:val="32"/>
          <w:rtl/>
          <w:lang w:bidi="ar-DZ"/>
        </w:rPr>
        <w:t xml:space="preserve">. والدراسة العلميّة للسرد تمكّننا من السّيطرة على العالم واحتوائه وفهمه. كل </w:t>
      </w:r>
      <w:r>
        <w:rPr>
          <w:rFonts w:ascii="Simplified Arabic" w:hAnsi="Simplified Arabic" w:cs="Simplified Arabic"/>
          <w:sz w:val="32"/>
          <w:szCs w:val="32"/>
          <w:rtl/>
          <w:lang w:bidi="ar-DZ"/>
        </w:rPr>
        <w:lastRenderedPageBreak/>
        <w:t>شيء موجودٌ إذا بداخل الخطابات. لسنا في حاجة إلى الحفر خارجها. الدلالة موجودة ثمّة بداخل البنية اللغويّة، وليس أبعد من ذلك. إننا نضيع الوقت ونظلل القارئ باتّجاهنا إلى خارج النصوص.</w:t>
      </w:r>
    </w:p>
    <w:p w:rsidR="00637F07" w:rsidRDefault="00637F07" w:rsidP="00637F07">
      <w:pPr>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يقتضي علم السرد جهازا مفاهيميّا يحلل من خلاله موضوعه، كما يحتاج إلى أدوات نقديّة تمكنه من مباشرة النقد والتحليل، وليس التأويل. وسنعرض لأهمّ مفاهيم ومصطلحات هذا العلم كما شاعت عند أهل الاختصاص الغربيين. </w:t>
      </w:r>
    </w:p>
    <w:p w:rsidR="00637F07" w:rsidRDefault="00637F07" w:rsidP="00637F07">
      <w:pPr>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أ-السرد</w:t>
      </w:r>
      <w:r>
        <w:rPr>
          <w:rFonts w:ascii="Simplified Arabic" w:hAnsi="Simplified Arabic" w:cs="Simplified Arabic"/>
          <w:sz w:val="32"/>
          <w:szCs w:val="32"/>
          <w:rtl/>
          <w:lang w:bidi="ar-DZ"/>
        </w:rPr>
        <w:t>:</w:t>
      </w:r>
    </w:p>
    <w:p w:rsidR="00637F07" w:rsidRDefault="00637F07" w:rsidP="00637F07">
      <w:pPr>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ماذا يعني السرد؟ ما هي مقوماته الأساسيّة، ما هي الأجناس الأدبيّة الأكثر توظيفا للسرد؟ إنها الرواية أو القصّة ومن هنا فالسرد في أبسط تعريفٍ له هو.  "وسيلة اتّصال تعرض تتابع أحداث تسببت فيها، أو جربتها الشخصيّات"</w:t>
      </w:r>
      <w:r>
        <w:rPr>
          <w:rStyle w:val="Appelnotedebasdep"/>
          <w:rFonts w:ascii="Simplified Arabic" w:hAnsi="Simplified Arabic" w:cs="Simplified Arabic"/>
          <w:sz w:val="32"/>
          <w:szCs w:val="32"/>
          <w:rtl/>
          <w:lang w:bidi="ar-DZ"/>
        </w:rPr>
        <w:footnoteReference w:id="4"/>
      </w:r>
      <w:r>
        <w:rPr>
          <w:rFonts w:ascii="Simplified Arabic" w:hAnsi="Simplified Arabic" w:cs="Simplified Arabic"/>
          <w:sz w:val="32"/>
          <w:szCs w:val="32"/>
          <w:rtl/>
          <w:lang w:bidi="ar-DZ"/>
        </w:rPr>
        <w:t>. هو إذا الحكي واستظهار تتابع الأحداث، وتطورها من وضع إلى آخر باتّجاه انفراج العقدة والرسوّ عند حلٍّ. والذي يقوم بعمليّة السرد ويخبر عن الأحداث والشخصيّات يسمّى السّارد. والسؤال الآن، كيف يتجلّى السّارد من خلال الخطاب؟ هل له صوت؟ هل يتدخل في عملية الحكي؟ يمكننا تحسس صوت السارد، إذا كان لا يختفي وراء الشخصيّات، وفي السرد السير-ذاتي كذلك يطغى صوته. إننا نبحث عن صوت السارد من خلال السؤال: من يتحدّث؟ غير أن هذا الصوت يتفاوت وضوحه من نص إلى آخر. "يمكننا أن نقول أن السارد المتواري يجب أن يكون غير واضح وغير جليّ، وغير متميّز؛ السارد الذي يتوارى في الخلفيّة ربما يموه نفسه ويلوذ في الاختفاء"</w:t>
      </w:r>
      <w:r>
        <w:rPr>
          <w:rStyle w:val="Appelnotedebasdep"/>
          <w:rFonts w:ascii="Simplified Arabic" w:hAnsi="Simplified Arabic" w:cs="Simplified Arabic"/>
          <w:sz w:val="32"/>
          <w:szCs w:val="32"/>
          <w:rtl/>
          <w:lang w:bidi="ar-DZ"/>
        </w:rPr>
        <w:footnoteReference w:id="5"/>
      </w:r>
      <w:r>
        <w:rPr>
          <w:rFonts w:ascii="Simplified Arabic" w:hAnsi="Simplified Arabic" w:cs="Simplified Arabic"/>
          <w:sz w:val="32"/>
          <w:szCs w:val="32"/>
          <w:rtl/>
          <w:lang w:bidi="ar-DZ"/>
        </w:rPr>
        <w:t>. كيف يفعل ذلك؟ يحاول ألاّ يجلب الانتباه إلى حضوره.</w:t>
      </w:r>
    </w:p>
    <w:p w:rsidR="00637F07" w:rsidRDefault="00637F07" w:rsidP="00637F07">
      <w:pPr>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تناول جيرار جينيت (1972) مصطلح السرد بالدراسة وسماه صوتا. أي الصوت السردي ويعني القائم بفعل السرد. السرد إذا "هو النشاط السردي الذي يضطلع به الراوي وهو </w:t>
      </w:r>
      <w:r>
        <w:rPr>
          <w:rFonts w:ascii="Simplified Arabic" w:hAnsi="Simplified Arabic" w:cs="Simplified Arabic"/>
          <w:sz w:val="32"/>
          <w:szCs w:val="32"/>
          <w:rtl/>
          <w:lang w:bidi="ar-DZ"/>
        </w:rPr>
        <w:lastRenderedPageBreak/>
        <w:t>يروي حكاية ويصوغ الخطاب الناقل لها"</w:t>
      </w:r>
      <w:r>
        <w:rPr>
          <w:rStyle w:val="Appelnotedebasdep"/>
          <w:rFonts w:ascii="Simplified Arabic" w:hAnsi="Simplified Arabic" w:cs="Simplified Arabic"/>
          <w:sz w:val="32"/>
          <w:szCs w:val="32"/>
          <w:rtl/>
          <w:lang w:bidi="ar-DZ"/>
        </w:rPr>
        <w:footnoteReference w:id="6"/>
      </w:r>
      <w:r>
        <w:rPr>
          <w:rFonts w:ascii="Simplified Arabic" w:hAnsi="Simplified Arabic" w:cs="Simplified Arabic"/>
          <w:sz w:val="32"/>
          <w:szCs w:val="32"/>
          <w:rtl/>
          <w:lang w:bidi="ar-DZ"/>
        </w:rPr>
        <w:t>. يميز جيرار جينيت بين فعل الكتابة الذي ينجزه الكاتب وهو فعل حقيقي، وبين فعل السرد الذي ينفذه الراوي وهو فعل متخيل. وينجم عن فعل السرد المتخيل الخطاب القصصي أو الروائي أو الحكاية. وفي السرد التخييلي لا نتحدث عن أحدهما بمعزل عن الآخر، فوجودهما متلازم. لا يوجد سردٌ لا يُنتج خطابا قصصيا مثلا أو نصا روائيا. إذا الخطاب القصصي يتشكّل من ثلاثة أركان ""هي السرد والحكاية والخطاب أو الملفوظ"</w:t>
      </w:r>
      <w:r>
        <w:rPr>
          <w:rStyle w:val="Appelnotedebasdep"/>
          <w:rFonts w:ascii="Simplified Arabic" w:hAnsi="Simplified Arabic" w:cs="Simplified Arabic"/>
          <w:sz w:val="32"/>
          <w:szCs w:val="32"/>
          <w:rtl/>
          <w:lang w:bidi="ar-DZ"/>
        </w:rPr>
        <w:footnoteReference w:id="7"/>
      </w:r>
      <w:r>
        <w:rPr>
          <w:rFonts w:ascii="Simplified Arabic" w:hAnsi="Simplified Arabic" w:cs="Simplified Arabic"/>
          <w:sz w:val="32"/>
          <w:szCs w:val="32"/>
          <w:rtl/>
          <w:lang w:bidi="ar-DZ"/>
        </w:rPr>
        <w:t>. السرد هو الحكي والقص والرواية أما الحكاية فهي الحبكة، أو مجمل الأحداث، والخطاب هو الوعاء اللغوي الذي يحتوي الحكاية.</w:t>
      </w:r>
    </w:p>
    <w:p w:rsidR="00637F07" w:rsidRDefault="00637F07" w:rsidP="00637F07">
      <w:pPr>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بؤرة السرد:</w:t>
      </w:r>
    </w:p>
    <w:p w:rsidR="00637F07" w:rsidRDefault="00637F07" w:rsidP="00637F07">
      <w:pPr>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هو مصطلح شائع في الدراسات السردية، وقد استعمله كلّ من "كلينث بروكس" و"روبرت وارن" ويقصدان به وجهة النظر الشخصيّة. "أي تلك التي تتعلق برؤيتها الداخلية الخاصة للأشياء. فكل ما يُسرد ويوصفُ نابعٌ من هذه الشخصيّة، ملونٌ بوجهة نظرها، حتى أن جانيت صاغ مصطلحه الخاص </w:t>
      </w:r>
      <w:r>
        <w:rPr>
          <w:rFonts w:ascii="Simplified Arabic" w:hAnsi="Simplified Arabic" w:cs="Simplified Arabic"/>
          <w:b/>
          <w:bCs/>
          <w:sz w:val="32"/>
          <w:szCs w:val="32"/>
          <w:rtl/>
          <w:lang w:bidi="ar-DZ"/>
        </w:rPr>
        <w:t xml:space="preserve">التبئير </w:t>
      </w:r>
      <w:r>
        <w:rPr>
          <w:rFonts w:ascii="Simplified Arabic" w:hAnsi="Simplified Arabic" w:cs="Simplified Arabic"/>
          <w:sz w:val="32"/>
          <w:szCs w:val="32"/>
          <w:rtl/>
          <w:lang w:bidi="ar-DZ"/>
        </w:rPr>
        <w:t>من مصطلح بؤرة السرد؛ إذ ا</w:t>
      </w:r>
      <w:r>
        <w:rPr>
          <w:rFonts w:ascii="Simplified Arabic" w:hAnsi="Simplified Arabic" w:cs="Simplified Arabic"/>
          <w:b/>
          <w:bCs/>
          <w:sz w:val="32"/>
          <w:szCs w:val="32"/>
          <w:rtl/>
          <w:lang w:bidi="ar-DZ"/>
        </w:rPr>
        <w:t>لتبئير</w:t>
      </w:r>
      <w:r>
        <w:rPr>
          <w:rFonts w:ascii="Simplified Arabic" w:hAnsi="Simplified Arabic" w:cs="Simplified Arabic"/>
          <w:sz w:val="32"/>
          <w:szCs w:val="32"/>
          <w:rtl/>
          <w:lang w:bidi="ar-DZ"/>
        </w:rPr>
        <w:t xml:space="preserve"> الخالص هو ذاك الذي يرتبط ببؤرة الشخصية مقابل</w:t>
      </w:r>
      <w:r>
        <w:rPr>
          <w:rFonts w:ascii="Simplified Arabic" w:hAnsi="Simplified Arabic" w:cs="Simplified Arabic"/>
          <w:b/>
          <w:bCs/>
          <w:sz w:val="32"/>
          <w:szCs w:val="32"/>
          <w:rtl/>
          <w:lang w:bidi="ar-DZ"/>
        </w:rPr>
        <w:t xml:space="preserve"> التبئير</w:t>
      </w:r>
      <w:r>
        <w:rPr>
          <w:rFonts w:ascii="Simplified Arabic" w:hAnsi="Simplified Arabic" w:cs="Simplified Arabic"/>
          <w:sz w:val="32"/>
          <w:szCs w:val="32"/>
          <w:rtl/>
          <w:lang w:bidi="ar-DZ"/>
        </w:rPr>
        <w:t xml:space="preserve"> الصفري الذي لا يرتبط بنقطة معينة، أو بؤرة مخصوصة ينظر منها إلى الأشياء"</w:t>
      </w:r>
      <w:r>
        <w:rPr>
          <w:rStyle w:val="Appelnotedebasdep"/>
          <w:rFonts w:ascii="Simplified Arabic" w:hAnsi="Simplified Arabic" w:cs="Simplified Arabic"/>
          <w:sz w:val="32"/>
          <w:szCs w:val="32"/>
          <w:rtl/>
          <w:lang w:bidi="ar-DZ"/>
        </w:rPr>
        <w:footnoteReference w:id="8"/>
      </w:r>
      <w:r>
        <w:rPr>
          <w:rFonts w:ascii="Simplified Arabic" w:hAnsi="Simplified Arabic" w:cs="Simplified Arabic"/>
          <w:sz w:val="32"/>
          <w:szCs w:val="32"/>
          <w:rtl/>
          <w:lang w:bidi="ar-DZ"/>
        </w:rPr>
        <w:t>. من حيث الجذر اللغوي للمصطلح فالبؤرة تعني الحفرة من الفعل بأر يبأر بؤرة أي حفر حفرة. واصطلاحا هي "عملية جعل العنصر أو المكون بؤرة في الكلام"</w:t>
      </w:r>
      <w:r>
        <w:rPr>
          <w:rStyle w:val="Appelnotedebasdep"/>
          <w:rFonts w:ascii="Simplified Arabic" w:hAnsi="Simplified Arabic" w:cs="Simplified Arabic"/>
          <w:sz w:val="32"/>
          <w:szCs w:val="32"/>
          <w:rtl/>
          <w:lang w:bidi="ar-DZ"/>
        </w:rPr>
        <w:footnoteReference w:id="9"/>
      </w:r>
      <w:r>
        <w:rPr>
          <w:rFonts w:ascii="Simplified Arabic" w:hAnsi="Simplified Arabic" w:cs="Simplified Arabic"/>
          <w:sz w:val="32"/>
          <w:szCs w:val="32"/>
          <w:rtl/>
          <w:lang w:bidi="ar-DZ"/>
        </w:rPr>
        <w:t xml:space="preserve">. أول من اقترح هذه الترجمة هو اللساني الوظيفي التداولي أحمد المتوكل، ثم شاعت من بعده بين اللسانيين العرب. </w:t>
      </w:r>
    </w:p>
    <w:p w:rsidR="00637F07" w:rsidRDefault="00637F07" w:rsidP="00637F07">
      <w:pPr>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التبئير الداخلي هو أن تعرض الأحداث من وجهة نظر شخصيّة داخلية. ةوالتبئير أداة لاختيار وتقيد معلومات السارد، لرؤية الأحداث والحالات من وجهة نظر شخصٍ ما؛ </w:t>
      </w:r>
      <w:r>
        <w:rPr>
          <w:rFonts w:ascii="Simplified Arabic" w:hAnsi="Simplified Arabic" w:cs="Simplified Arabic"/>
          <w:sz w:val="32"/>
          <w:szCs w:val="32"/>
          <w:rtl/>
          <w:lang w:bidi="ar-DZ"/>
        </w:rPr>
        <w:lastRenderedPageBreak/>
        <w:t>ولمواجهة وسيط التبئير ولخلق رأي متعاطف أو ساخر من المؤبّر. "والمؤبر هو الوسيط أو الفعال الذي يوجّه وجهة نظر النص، ويرتكز النص على وجهة نظر المؤبر عندما يعرض أفكار المؤبر وانعكاساته ومعرفته وتخيلاته الإدراكيّة والفعليّة، وتوجهاته الإيديولوجيّة والثقافيّة"</w:t>
      </w:r>
      <w:r>
        <w:rPr>
          <w:rStyle w:val="Appelnotedebasdep"/>
          <w:rFonts w:ascii="Simplified Arabic" w:hAnsi="Simplified Arabic" w:cs="Simplified Arabic"/>
          <w:sz w:val="32"/>
          <w:szCs w:val="32"/>
          <w:rtl/>
          <w:lang w:bidi="ar-DZ"/>
        </w:rPr>
        <w:footnoteReference w:id="10"/>
      </w:r>
      <w:r>
        <w:rPr>
          <w:rFonts w:ascii="Simplified Arabic" w:hAnsi="Simplified Arabic" w:cs="Simplified Arabic"/>
          <w:sz w:val="32"/>
          <w:szCs w:val="32"/>
          <w:rtl/>
          <w:lang w:bidi="ar-DZ"/>
        </w:rPr>
        <w:t xml:space="preserve"> يفضل جيرار جينيت أن يحصر التبئير في الشخصية الداخلية بينما يخالفة معظم علماء السرد في كون المؤبر يمكن أن يكون ساردا خارجيا. يشار إلى المؤبرين الداخليين ب: الشخصيات التبئيرية، وهي تلك التي تستعرض المواقف والوقائع من وجهة نظرها. فهي صاحبة زاوية الرؤية، مع توجيه القراء نحو هذه البؤرة بتركيز محكم.</w:t>
      </w:r>
    </w:p>
    <w:p w:rsidR="00637F07" w:rsidRDefault="00637F07" w:rsidP="00637F07">
      <w:pPr>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البرنامج السردي:</w:t>
      </w:r>
    </w:p>
    <w:p w:rsidR="00637F07" w:rsidRDefault="00637F07" w:rsidP="00637F07">
      <w:pPr>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من المعلوم أنّ صاحب هذا المصطلح هو اللساني غريماس (1966)، الذي يطلقه على "تتابع الحالات والتحولات التي تترابط انطلاقا من علاقة بين ذات معينة وموضوع محدّد وما يطرأ عليها من تحول. فالبرنامج السردي يضم عددا من التحولات المترابطة التاي تندرجُ في سلم تراتبي"</w:t>
      </w:r>
      <w:r>
        <w:rPr>
          <w:rStyle w:val="Appelnotedebasdep"/>
          <w:rFonts w:ascii="Simplified Arabic" w:hAnsi="Simplified Arabic" w:cs="Simplified Arabic"/>
          <w:sz w:val="32"/>
          <w:szCs w:val="32"/>
          <w:rtl/>
          <w:lang w:bidi="ar-DZ"/>
        </w:rPr>
        <w:footnoteReference w:id="11"/>
      </w:r>
      <w:r>
        <w:rPr>
          <w:rFonts w:ascii="Simplified Arabic" w:hAnsi="Simplified Arabic" w:cs="Simplified Arabic"/>
          <w:sz w:val="32"/>
          <w:szCs w:val="32"/>
          <w:rtl/>
          <w:lang w:bidi="ar-DZ"/>
        </w:rPr>
        <w:t>. إنّ سلسلة التحولات ضمن البرنامج السردي تخضعُ لقواعد منطقيّة، وهو ما خوّل الحديث عن برنامج. فالحالة تقتضي حالة أخرى، والتحول بعلاقة منطقيّة مع ما سبقه يدفع إلى تحول جديد. والمسار كله هو البرنامج. فإذا كان المقطع السردي يقوم بإنجاز رئيسي فإنّ البرنامج السّردي هو تجسيد مخصوص للمقطع السردي في قصّة ما، "أي كل سلسلة الحالات والتحولات التي تصبّ في تحقيق علاقة ذات حالة بموضوعها. فالبرنامج السّردي يحدّد دائما بالحالة، -أي العلاقة بموضوع القيمة- التي يؤدّي إليها"</w:t>
      </w:r>
      <w:r>
        <w:rPr>
          <w:rStyle w:val="Appelnotedebasdep"/>
          <w:rFonts w:ascii="Simplified Arabic" w:hAnsi="Simplified Arabic" w:cs="Simplified Arabic"/>
          <w:sz w:val="32"/>
          <w:szCs w:val="32"/>
          <w:rtl/>
          <w:lang w:bidi="ar-DZ"/>
        </w:rPr>
        <w:footnoteReference w:id="12"/>
      </w:r>
      <w:r>
        <w:rPr>
          <w:rFonts w:ascii="Simplified Arabic" w:hAnsi="Simplified Arabic" w:cs="Simplified Arabic"/>
          <w:sz w:val="32"/>
          <w:szCs w:val="32"/>
          <w:rtl/>
          <w:lang w:bidi="ar-DZ"/>
        </w:rPr>
        <w:t>. خلاصة القول أنّ المقطع السردي هو جزءٌ من البرنامج السردي، وقد تتعدد البرامج في العمل الروائي الواحد، وقد تتفرّدُ، أي أنّ العمل الروائي يمكنه أن ينفرد ببرنامج سردي واحد، إذا كانت الرواية في شكل قصّة بسيطة في بنيتها.</w:t>
      </w:r>
    </w:p>
    <w:p w:rsidR="00AA225F" w:rsidRDefault="00AA225F">
      <w:pPr>
        <w:rPr>
          <w:lang w:bidi="ar-DZ"/>
        </w:rPr>
      </w:pPr>
    </w:p>
    <w:sectPr w:rsidR="00AA225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25F" w:rsidRDefault="00AA225F" w:rsidP="00637F07">
      <w:pPr>
        <w:spacing w:after="0" w:line="240" w:lineRule="auto"/>
      </w:pPr>
      <w:r>
        <w:separator/>
      </w:r>
    </w:p>
  </w:endnote>
  <w:endnote w:type="continuationSeparator" w:id="1">
    <w:p w:rsidR="00AA225F" w:rsidRDefault="00AA225F" w:rsidP="00637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25F" w:rsidRDefault="00AA225F" w:rsidP="00637F07">
      <w:pPr>
        <w:spacing w:after="0" w:line="240" w:lineRule="auto"/>
      </w:pPr>
      <w:r>
        <w:separator/>
      </w:r>
    </w:p>
  </w:footnote>
  <w:footnote w:type="continuationSeparator" w:id="1">
    <w:p w:rsidR="00AA225F" w:rsidRDefault="00AA225F" w:rsidP="00637F07">
      <w:pPr>
        <w:spacing w:after="0" w:line="240" w:lineRule="auto"/>
      </w:pPr>
      <w:r>
        <w:continuationSeparator/>
      </w:r>
    </w:p>
  </w:footnote>
  <w:footnote w:id="2">
    <w:p w:rsidR="00637F07" w:rsidRDefault="00637F07" w:rsidP="00637F07">
      <w:pPr>
        <w:pStyle w:val="Notedebasdepage"/>
        <w:bidi/>
        <w:rPr>
          <w:rtl/>
          <w:lang w:bidi="ar-DZ"/>
        </w:rPr>
      </w:pPr>
      <w:r>
        <w:rPr>
          <w:rStyle w:val="Appelnotedebasdep"/>
        </w:rPr>
        <w:footnoteRef/>
      </w:r>
      <w:r>
        <w:rPr>
          <w:rFonts w:hint="cs"/>
          <w:rtl/>
          <w:lang w:bidi="ar-DZ"/>
        </w:rPr>
        <w:t>-سعد البازغي وميجان الرويبلي، دليل الناقد الأدبي، المركز الثقافي العربي، الدار البيضاء، ط الثالثة 2002، ص 174.</w:t>
      </w:r>
    </w:p>
  </w:footnote>
  <w:footnote w:id="3">
    <w:p w:rsidR="00637F07" w:rsidRDefault="00637F07" w:rsidP="00637F07">
      <w:pPr>
        <w:pStyle w:val="Notedebasdepage"/>
        <w:bidi/>
        <w:rPr>
          <w:rtl/>
          <w:lang w:bidi="ar-DZ"/>
        </w:rPr>
      </w:pPr>
      <w:r>
        <w:rPr>
          <w:rStyle w:val="Appelnotedebasdep"/>
        </w:rPr>
        <w:footnoteRef/>
      </w:r>
      <w:r>
        <w:rPr>
          <w:rFonts w:hint="cs"/>
          <w:rtl/>
          <w:lang w:bidi="ar-DZ"/>
        </w:rPr>
        <w:t>- يان مانفريد، علم السرد، ترجمة أماني بورحمة، نينوي للدراسات والنشر والتوزيع، دمشق-سوريا، ط الأولى 2011،   ص7.</w:t>
      </w:r>
    </w:p>
  </w:footnote>
  <w:footnote w:id="4">
    <w:p w:rsidR="00637F07" w:rsidRDefault="00637F07" w:rsidP="00637F07">
      <w:pPr>
        <w:pStyle w:val="Notedebasdepage"/>
        <w:bidi/>
        <w:rPr>
          <w:rFonts w:cs="Arial"/>
          <w:rtl/>
          <w:lang w:bidi="ar-DZ"/>
        </w:rPr>
      </w:pPr>
      <w:r>
        <w:rPr>
          <w:rStyle w:val="Appelnotedebasdep"/>
        </w:rPr>
        <w:footnoteRef/>
      </w:r>
      <w:r>
        <w:rPr>
          <w:rFonts w:hint="cs"/>
          <w:rtl/>
          <w:lang w:bidi="ar-DZ"/>
        </w:rPr>
        <w:t>-</w:t>
      </w:r>
      <w:r>
        <w:rPr>
          <w:rFonts w:cs="Arial"/>
          <w:rtl/>
          <w:lang w:bidi="ar-DZ"/>
        </w:rPr>
        <w:t>يان مانفريد، علم السرد، ص12.</w:t>
      </w:r>
      <w:r>
        <w:rPr>
          <w:rFonts w:cs="Arial" w:hint="cs"/>
          <w:rtl/>
          <w:lang w:bidi="ar-DZ"/>
        </w:rPr>
        <w:t>.</w:t>
      </w:r>
    </w:p>
  </w:footnote>
  <w:footnote w:id="5">
    <w:p w:rsidR="00637F07" w:rsidRDefault="00637F07" w:rsidP="00637F07">
      <w:pPr>
        <w:pStyle w:val="Notedebasdepage"/>
        <w:bidi/>
        <w:rPr>
          <w:rtl/>
          <w:lang w:bidi="ar-DZ"/>
        </w:rPr>
      </w:pPr>
      <w:r>
        <w:rPr>
          <w:rStyle w:val="Appelnotedebasdep"/>
        </w:rPr>
        <w:footnoteRef/>
      </w:r>
      <w:r>
        <w:rPr>
          <w:rFonts w:hint="cs"/>
          <w:rtl/>
          <w:lang w:bidi="ar-DZ"/>
        </w:rPr>
        <w:t>-م نفسه، ص 19.</w:t>
      </w:r>
    </w:p>
  </w:footnote>
  <w:footnote w:id="6">
    <w:p w:rsidR="00637F07" w:rsidRDefault="00637F07" w:rsidP="00637F07">
      <w:pPr>
        <w:pStyle w:val="Notedebasdepage"/>
        <w:bidi/>
        <w:rPr>
          <w:rtl/>
          <w:lang w:bidi="ar-DZ"/>
        </w:rPr>
      </w:pPr>
      <w:r>
        <w:rPr>
          <w:rStyle w:val="Appelnotedebasdep"/>
        </w:rPr>
        <w:footnoteRef/>
      </w:r>
      <w:r>
        <w:rPr>
          <w:rFonts w:hint="cs"/>
          <w:rtl/>
          <w:lang w:bidi="ar-DZ"/>
        </w:rPr>
        <w:t>- محمد القاضي، وآخرون، معجم السرديات، دار محمد علي للنشر بتونس، دار الفارابي بلبنان، دار تالة/الجزائر،دار الملتقى/المغرب، ط الأولى 2010،  ص243.</w:t>
      </w:r>
    </w:p>
  </w:footnote>
  <w:footnote w:id="7">
    <w:p w:rsidR="00637F07" w:rsidRDefault="00637F07" w:rsidP="00637F07">
      <w:pPr>
        <w:pStyle w:val="Notedebasdepage"/>
        <w:bidi/>
        <w:rPr>
          <w:rtl/>
          <w:lang w:bidi="ar-DZ"/>
        </w:rPr>
      </w:pPr>
      <w:r>
        <w:rPr>
          <w:rStyle w:val="Appelnotedebasdep"/>
        </w:rPr>
        <w:footnoteRef/>
      </w:r>
      <w:r>
        <w:rPr>
          <w:rFonts w:hint="cs"/>
          <w:rtl/>
          <w:lang w:bidi="ar-DZ"/>
        </w:rPr>
        <w:t>-م نفسه، ص نفسها.</w:t>
      </w:r>
    </w:p>
  </w:footnote>
  <w:footnote w:id="8">
    <w:p w:rsidR="00637F07" w:rsidRDefault="00637F07" w:rsidP="00637F07">
      <w:pPr>
        <w:pStyle w:val="Notedebasdepage"/>
        <w:bidi/>
        <w:rPr>
          <w:rtl/>
          <w:lang w:bidi="ar-DZ"/>
        </w:rPr>
      </w:pPr>
      <w:r>
        <w:rPr>
          <w:rStyle w:val="Appelnotedebasdep"/>
        </w:rPr>
        <w:footnoteRef/>
      </w:r>
      <w:r>
        <w:rPr>
          <w:rFonts w:hint="cs"/>
          <w:rtl/>
          <w:lang w:bidi="ar-DZ"/>
        </w:rPr>
        <w:t>-</w:t>
      </w:r>
      <w:r>
        <w:rPr>
          <w:rFonts w:cs="Arial"/>
          <w:rtl/>
          <w:lang w:bidi="ar-DZ"/>
        </w:rPr>
        <w:t>محمد القاضي، وآخرون، معجم السرديات</w:t>
      </w:r>
      <w:r>
        <w:rPr>
          <w:rFonts w:cs="Arial" w:hint="cs"/>
          <w:rtl/>
          <w:lang w:bidi="ar-DZ"/>
        </w:rPr>
        <w:t>، ص 49.</w:t>
      </w:r>
    </w:p>
  </w:footnote>
  <w:footnote w:id="9">
    <w:p w:rsidR="00637F07" w:rsidRDefault="00637F07" w:rsidP="00637F07">
      <w:pPr>
        <w:pStyle w:val="Notedebasdepage"/>
        <w:bidi/>
        <w:rPr>
          <w:rFonts w:hint="cs"/>
          <w:rtl/>
          <w:lang w:bidi="ar-DZ"/>
        </w:rPr>
      </w:pPr>
      <w:r>
        <w:rPr>
          <w:rStyle w:val="Appelnotedebasdep"/>
        </w:rPr>
        <w:footnoteRef/>
      </w:r>
      <w:r>
        <w:rPr>
          <w:rFonts w:hint="cs"/>
          <w:rtl/>
          <w:lang w:bidi="ar-DZ"/>
        </w:rPr>
        <w:t>--يان مانفريد، علم السرد، ص 77.</w:t>
      </w:r>
    </w:p>
  </w:footnote>
  <w:footnote w:id="10">
    <w:p w:rsidR="00637F07" w:rsidRDefault="00637F07" w:rsidP="00637F07">
      <w:pPr>
        <w:pStyle w:val="Notedebasdepage"/>
        <w:bidi/>
        <w:rPr>
          <w:rtl/>
          <w:lang w:bidi="ar-DZ"/>
        </w:rPr>
      </w:pPr>
      <w:r>
        <w:rPr>
          <w:rStyle w:val="Appelnotedebasdep"/>
        </w:rPr>
        <w:footnoteRef/>
      </w:r>
      <w:r>
        <w:rPr>
          <w:rFonts w:hint="cs"/>
          <w:rtl/>
          <w:lang w:bidi="ar-DZ"/>
        </w:rPr>
        <w:t>-م نفسه، ص79.</w:t>
      </w:r>
    </w:p>
  </w:footnote>
  <w:footnote w:id="11">
    <w:p w:rsidR="00637F07" w:rsidRDefault="00637F07" w:rsidP="00637F07">
      <w:pPr>
        <w:pStyle w:val="Notedebasdepage"/>
        <w:bidi/>
        <w:rPr>
          <w:rtl/>
          <w:lang w:bidi="ar-DZ"/>
        </w:rPr>
      </w:pPr>
      <w:r>
        <w:rPr>
          <w:rStyle w:val="Appelnotedebasdep"/>
        </w:rPr>
        <w:footnoteRef/>
      </w:r>
      <w:r>
        <w:rPr>
          <w:rFonts w:hint="cs"/>
          <w:rtl/>
          <w:lang w:bidi="ar-DZ"/>
        </w:rPr>
        <w:t>-</w:t>
      </w:r>
      <w:r>
        <w:rPr>
          <w:rFonts w:cs="Arial"/>
          <w:rtl/>
          <w:lang w:bidi="ar-DZ"/>
        </w:rPr>
        <w:t>محمد القاضي، وآخرون، معجم السرديات</w:t>
      </w:r>
      <w:r>
        <w:rPr>
          <w:rFonts w:cs="Arial" w:hint="cs"/>
          <w:rtl/>
          <w:lang w:bidi="ar-DZ"/>
        </w:rPr>
        <w:t>، ص 50.</w:t>
      </w:r>
    </w:p>
  </w:footnote>
  <w:footnote w:id="12">
    <w:p w:rsidR="00637F07" w:rsidRDefault="00637F07" w:rsidP="00637F07">
      <w:pPr>
        <w:pStyle w:val="Notedebasdepage"/>
        <w:bidi/>
        <w:rPr>
          <w:rtl/>
          <w:lang w:bidi="ar-DZ"/>
        </w:rPr>
      </w:pPr>
      <w:r>
        <w:rPr>
          <w:rStyle w:val="Appelnotedebasdep"/>
        </w:rPr>
        <w:footnoteRef/>
      </w:r>
      <w:r>
        <w:rPr>
          <w:rFonts w:hint="cs"/>
          <w:rtl/>
          <w:lang w:bidi="ar-DZ"/>
        </w:rPr>
        <w:t>-م نفسه، ص50-51.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637F07"/>
    <w:rsid w:val="00637F07"/>
    <w:rsid w:val="00AA22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qFormat/>
    <w:rsid w:val="00637F07"/>
    <w:pPr>
      <w:bidi w:val="0"/>
      <w:spacing w:after="0" w:line="240" w:lineRule="auto"/>
    </w:pPr>
    <w:rPr>
      <w:rFonts w:eastAsiaTheme="minorHAnsi"/>
      <w:sz w:val="20"/>
      <w:szCs w:val="20"/>
      <w:lang w:val="fr-FR"/>
    </w:rPr>
  </w:style>
  <w:style w:type="character" w:customStyle="1" w:styleId="NotedebasdepageCar">
    <w:name w:val="Note de bas de page Car"/>
    <w:basedOn w:val="Policepardfaut"/>
    <w:link w:val="Notedebasdepage"/>
    <w:uiPriority w:val="99"/>
    <w:semiHidden/>
    <w:qFormat/>
    <w:rsid w:val="00637F07"/>
    <w:rPr>
      <w:rFonts w:eastAsiaTheme="minorHAnsi"/>
      <w:sz w:val="20"/>
      <w:szCs w:val="20"/>
      <w:lang w:val="fr-FR"/>
    </w:rPr>
  </w:style>
  <w:style w:type="character" w:styleId="Appelnotedebasdep">
    <w:name w:val="footnote reference"/>
    <w:basedOn w:val="Policepardfaut"/>
    <w:uiPriority w:val="99"/>
    <w:semiHidden/>
    <w:unhideWhenUsed/>
    <w:qFormat/>
    <w:rsid w:val="00637F0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1015</Words>
  <Characters>5790</Characters>
  <Application>Microsoft Office Word</Application>
  <DocSecurity>0</DocSecurity>
  <Lines>48</Lines>
  <Paragraphs>13</Paragraphs>
  <ScaleCrop>false</ScaleCrop>
  <Company>LAROUSSI-TM</Company>
  <LinksUpToDate>false</LinksUpToDate>
  <CharactersWithSpaces>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2023-11-14T19:42:00Z</dcterms:created>
  <dcterms:modified xsi:type="dcterms:W3CDTF">2023-11-14T19:42:00Z</dcterms:modified>
</cp:coreProperties>
</file>