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F76" w:rsidRPr="00CB392B" w:rsidRDefault="007420CD" w:rsidP="007420CD">
      <w:pPr>
        <w:jc w:val="right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r w:rsidRPr="00CB392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الأستاذة: </w:t>
      </w:r>
      <w:proofErr w:type="spellStart"/>
      <w:r w:rsidRPr="00CB392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أوقاشة</w:t>
      </w:r>
      <w:proofErr w:type="spellEnd"/>
      <w:r w:rsidRPr="00CB392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شفيعة</w:t>
      </w:r>
    </w:p>
    <w:p w:rsidR="007420CD" w:rsidRPr="00CB392B" w:rsidRDefault="007420CD" w:rsidP="007420CD">
      <w:pPr>
        <w:jc w:val="right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proofErr w:type="gramStart"/>
      <w:r w:rsidRPr="00CB392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السّنة</w:t>
      </w:r>
      <w:proofErr w:type="gramEnd"/>
      <w:r w:rsidRPr="00CB392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الجامعيّة:2023/2024.</w:t>
      </w:r>
    </w:p>
    <w:p w:rsidR="007420CD" w:rsidRPr="00CB392B" w:rsidRDefault="007420CD" w:rsidP="007420CD">
      <w:pPr>
        <w:jc w:val="right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proofErr w:type="gramStart"/>
      <w:r w:rsidRPr="00CB392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المقياس</w:t>
      </w:r>
      <w:proofErr w:type="gramEnd"/>
      <w:r w:rsidRPr="00CB392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: نظريّة القراءة والتّأويل</w:t>
      </w:r>
    </w:p>
    <w:p w:rsidR="007420CD" w:rsidRPr="00CB392B" w:rsidRDefault="007420CD" w:rsidP="007420CD">
      <w:pPr>
        <w:jc w:val="right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proofErr w:type="gramStart"/>
      <w:r w:rsidRPr="00CB392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السّنة</w:t>
      </w:r>
      <w:proofErr w:type="gramEnd"/>
      <w:r w:rsidRPr="00CB392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: الثّالثة ليسانس</w:t>
      </w:r>
    </w:p>
    <w:p w:rsidR="007420CD" w:rsidRPr="00CB392B" w:rsidRDefault="007420CD" w:rsidP="007420CD">
      <w:pPr>
        <w:jc w:val="right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r w:rsidRPr="00CB392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تخصّص: نقد </w:t>
      </w:r>
      <w:proofErr w:type="gramStart"/>
      <w:r w:rsidRPr="00CB392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ومناهج</w:t>
      </w:r>
      <w:proofErr w:type="gramEnd"/>
    </w:p>
    <w:p w:rsidR="007420CD" w:rsidRPr="00CB392B" w:rsidRDefault="007420CD" w:rsidP="007420CD">
      <w:pPr>
        <w:jc w:val="right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proofErr w:type="gramStart"/>
      <w:r w:rsidRPr="00CB392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النّوع</w:t>
      </w:r>
      <w:proofErr w:type="gramEnd"/>
      <w:r w:rsidRPr="00CB392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: تطبيق</w:t>
      </w:r>
    </w:p>
    <w:p w:rsidR="007420CD" w:rsidRPr="00CB392B" w:rsidRDefault="007420CD" w:rsidP="007420CD">
      <w:pPr>
        <w:jc w:val="right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proofErr w:type="gramStart"/>
      <w:r w:rsidRPr="00CB392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الفوج</w:t>
      </w:r>
      <w:proofErr w:type="gramEnd"/>
      <w:r w:rsidRPr="00CB392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:1-3-4.</w:t>
      </w:r>
    </w:p>
    <w:p w:rsidR="007420CD" w:rsidRPr="00CB392B" w:rsidRDefault="007420CD" w:rsidP="007420CD">
      <w:pPr>
        <w:jc w:val="right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</w:p>
    <w:p w:rsidR="007420CD" w:rsidRPr="00CB392B" w:rsidRDefault="007420CD" w:rsidP="007420CD">
      <w:pPr>
        <w:jc w:val="right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proofErr w:type="gramStart"/>
      <w:r w:rsidRPr="00CB392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تطبيق</w:t>
      </w:r>
      <w:proofErr w:type="gramEnd"/>
      <w:r w:rsidRPr="00CB392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رقم 06:</w:t>
      </w:r>
    </w:p>
    <w:p w:rsidR="007420CD" w:rsidRPr="00CB392B" w:rsidRDefault="007420CD" w:rsidP="007420CD">
      <w:pPr>
        <w:jc w:val="right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proofErr w:type="spellStart"/>
      <w:r w:rsidRPr="00CB392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الهرمينوطيقا</w:t>
      </w:r>
      <w:proofErr w:type="spellEnd"/>
      <w:r w:rsidRPr="00CB392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:</w:t>
      </w:r>
    </w:p>
    <w:p w:rsidR="007420CD" w:rsidRDefault="00B80B3A" w:rsidP="007420CD">
      <w:pPr>
        <w:jc w:val="right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يعرّفها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شلايرماخر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في قوله بأنّها:" فنّ الفهم؛ أي الفنّ الّذي لا يمكن الوصول إلى الفهم إلاّ من خلاله. وانطلاقًا من أنّ التّفسير معرّض دائمًا لخطر الابتلاء بسوء الفهم، عدّ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شلايرماخر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الهرمينوطيقا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مجموعة من قواعد منهجيّة تُستخدم لرفع هذا الخطر</w:t>
      </w:r>
      <w:r w:rsidR="00CB392B">
        <w:rPr>
          <w:rFonts w:ascii="Simplified Arabic" w:hAnsi="Simplified Arabic" w:cs="Simplified Arabic" w:hint="cs"/>
          <w:sz w:val="32"/>
          <w:szCs w:val="32"/>
          <w:rtl/>
          <w:lang w:bidi="ar-DZ"/>
        </w:rPr>
        <w:t>".</w:t>
      </w:r>
    </w:p>
    <w:p w:rsidR="00CB392B" w:rsidRPr="00CB392B" w:rsidRDefault="00CB392B" w:rsidP="007420CD">
      <w:pPr>
        <w:jc w:val="right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r w:rsidRPr="00CB392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حلّل القول مبيّنًا ما يلي:</w:t>
      </w:r>
    </w:p>
    <w:p w:rsidR="00CB392B" w:rsidRPr="00CB392B" w:rsidRDefault="00CB392B" w:rsidP="007420CD">
      <w:pPr>
        <w:jc w:val="right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r w:rsidRPr="00CB392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مفهوم </w:t>
      </w:r>
      <w:proofErr w:type="spellStart"/>
      <w:r w:rsidRPr="00CB392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الهرمينوطيقا</w:t>
      </w:r>
      <w:proofErr w:type="spellEnd"/>
      <w:r w:rsidRPr="00CB392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وعلاقتها بالتأويل؟</w:t>
      </w:r>
    </w:p>
    <w:p w:rsidR="00CB392B" w:rsidRDefault="00CB392B" w:rsidP="007420CD">
      <w:pPr>
        <w:jc w:val="right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 w:rsidRPr="00CB392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أبرز مراحل تطوّرها؟ والفلاسفة الّذي </w:t>
      </w:r>
      <w:proofErr w:type="gramStart"/>
      <w:r w:rsidRPr="00CB392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اعتنوا</w:t>
      </w:r>
      <w:proofErr w:type="gramEnd"/>
      <w:r w:rsidRPr="00CB392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</w:t>
      </w:r>
      <w:proofErr w:type="spellStart"/>
      <w:r w:rsidRPr="00CB392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بها</w:t>
      </w:r>
      <w:proofErr w:type="spellEnd"/>
      <w:r w:rsidRPr="00CB392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؟</w:t>
      </w:r>
    </w:p>
    <w:p w:rsidR="00CB392B" w:rsidRPr="007420CD" w:rsidRDefault="00CB392B" w:rsidP="007420CD">
      <w:pPr>
        <w:jc w:val="right"/>
        <w:rPr>
          <w:rFonts w:ascii="Simplified Arabic" w:hAnsi="Simplified Arabic" w:cs="Simplified Arabic" w:hint="cs"/>
          <w:sz w:val="32"/>
          <w:szCs w:val="32"/>
          <w:lang w:bidi="ar-DZ"/>
        </w:rPr>
      </w:pPr>
    </w:p>
    <w:sectPr w:rsidR="00CB392B" w:rsidRPr="007420CD" w:rsidSect="002B4F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7420CD"/>
    <w:rsid w:val="002B4F76"/>
    <w:rsid w:val="007420CD"/>
    <w:rsid w:val="00B80B3A"/>
    <w:rsid w:val="00CB392B"/>
    <w:rsid w:val="00E347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76" w:lineRule="auto"/>
        <w:ind w:left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F7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82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chafea</dc:creator>
  <cp:lastModifiedBy>chafea</cp:lastModifiedBy>
  <cp:revision>1</cp:revision>
  <dcterms:created xsi:type="dcterms:W3CDTF">2024-03-22T22:40:00Z</dcterms:created>
  <dcterms:modified xsi:type="dcterms:W3CDTF">2024-03-22T23:25:00Z</dcterms:modified>
</cp:coreProperties>
</file>